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01C91" w14:textId="77777777" w:rsidR="002040AD" w:rsidRPr="002040AD" w:rsidRDefault="002040AD" w:rsidP="002040AD">
      <w:pPr>
        <w:spacing w:after="192"/>
        <w:outlineLvl w:val="1"/>
        <w:rPr>
          <w:rFonts w:ascii="Playfair Display" w:eastAsia="Times New Roman" w:hAnsi="Playfair Display" w:cs="Times New Roman"/>
          <w:color w:val="1D1D1D"/>
          <w:sz w:val="36"/>
          <w:szCs w:val="36"/>
          <w:lang w:eastAsia="en-GB"/>
        </w:rPr>
      </w:pPr>
      <w:r w:rsidRPr="002040AD">
        <w:rPr>
          <w:rFonts w:ascii="Playfair Display" w:eastAsia="Times New Roman" w:hAnsi="Playfair Display" w:cs="Times New Roman"/>
          <w:color w:val="1D1D1D"/>
          <w:sz w:val="36"/>
          <w:szCs w:val="36"/>
          <w:lang w:eastAsia="en-GB"/>
        </w:rPr>
        <w:t>MEMORANDUM O SPOLUPRÁCI</w:t>
      </w:r>
    </w:p>
    <w:p w14:paraId="1E1B2306" w14:textId="77777777" w:rsidR="002F23B7" w:rsidRDefault="002F23B7" w:rsidP="002040AD">
      <w:pPr>
        <w:spacing w:after="192"/>
        <w:outlineLvl w:val="2"/>
        <w:rPr>
          <w:rFonts w:ascii="Playfair Display" w:eastAsia="Times New Roman" w:hAnsi="Playfair Display" w:cs="Times New Roman"/>
          <w:color w:val="1D1D1D"/>
          <w:sz w:val="27"/>
          <w:szCs w:val="27"/>
          <w:lang w:eastAsia="en-GB"/>
        </w:rPr>
      </w:pPr>
    </w:p>
    <w:p w14:paraId="0434C5EA" w14:textId="0F71DC3F" w:rsidR="002040AD" w:rsidRDefault="002040AD" w:rsidP="002040AD">
      <w:pPr>
        <w:spacing w:after="192"/>
        <w:outlineLvl w:val="2"/>
        <w:rPr>
          <w:rFonts w:ascii="Playfair Display" w:eastAsia="Times New Roman" w:hAnsi="Playfair Display" w:cs="Times New Roman"/>
          <w:color w:val="1D1D1D"/>
          <w:sz w:val="27"/>
          <w:szCs w:val="27"/>
          <w:lang w:eastAsia="en-GB"/>
        </w:rPr>
      </w:pPr>
      <w:r w:rsidRPr="002040AD">
        <w:rPr>
          <w:rFonts w:ascii="Playfair Display" w:eastAsia="Times New Roman" w:hAnsi="Playfair Display" w:cs="Times New Roman"/>
          <w:color w:val="1D1D1D"/>
          <w:sz w:val="27"/>
          <w:szCs w:val="27"/>
          <w:lang w:eastAsia="en-GB"/>
        </w:rPr>
        <w:t>PREAMBULA</w:t>
      </w:r>
    </w:p>
    <w:p w14:paraId="0064359E" w14:textId="77777777" w:rsidR="002040AD" w:rsidRPr="002040AD" w:rsidRDefault="002040AD" w:rsidP="002040AD">
      <w:pPr>
        <w:spacing w:after="192"/>
        <w:outlineLvl w:val="2"/>
        <w:rPr>
          <w:rFonts w:ascii="Playfair Display" w:eastAsia="Times New Roman" w:hAnsi="Playfair Display" w:cs="Times New Roman"/>
          <w:color w:val="1D1D1D"/>
          <w:sz w:val="27"/>
          <w:szCs w:val="27"/>
          <w:lang w:eastAsia="en-GB"/>
        </w:rPr>
      </w:pPr>
    </w:p>
    <w:p w14:paraId="7799504F" w14:textId="34809556" w:rsidR="002040AD" w:rsidRPr="002040AD" w:rsidRDefault="002040AD" w:rsidP="002040AD">
      <w:pPr>
        <w:numPr>
          <w:ilvl w:val="0"/>
          <w:numId w:val="1"/>
        </w:numPr>
        <w:spacing w:line="480" w:lineRule="auto"/>
        <w:ind w:left="375"/>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Komora je samosprávna stavovská organizácia, ktorá združuje všetkých advokátov zapísaných v zozname advokátov vedenom komorou. Na čele komory je jej predseda.</w:t>
      </w:r>
    </w:p>
    <w:p w14:paraId="4FAAF0A4" w14:textId="77777777" w:rsidR="002040AD" w:rsidRPr="002040AD" w:rsidRDefault="002040AD" w:rsidP="002040AD">
      <w:pPr>
        <w:numPr>
          <w:ilvl w:val="0"/>
          <w:numId w:val="1"/>
        </w:numPr>
        <w:spacing w:line="480" w:lineRule="auto"/>
        <w:ind w:left="375"/>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Zbor väzenskej a justičnej stráže („zbor“) je ozbrojený bezpečnostný zbor, ktorý organizačne tvoria generálne riaditeľstvo a ústavy zboru ako samostatné právnické osoby – rozpočtové organizácie. Na čele zboru je generálny riaditeľ. Generálne riaditeľstvo riadi a kontroluje ústavy zboru.</w:t>
      </w:r>
    </w:p>
    <w:p w14:paraId="6BDEACDA" w14:textId="2C9A3F71" w:rsidR="002040AD" w:rsidRPr="002040AD" w:rsidRDefault="002040AD" w:rsidP="002040AD">
      <w:pPr>
        <w:numPr>
          <w:ilvl w:val="0"/>
          <w:numId w:val="1"/>
        </w:numPr>
        <w:spacing w:line="480" w:lineRule="auto"/>
        <w:ind w:left="375"/>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Memorandum je prejavom slobodnej vôle generálneho riaditeľstva a komory uznávajúc, že zvyšovanie vzdelanostnej úrovne členov Slovenskej advokátskej komory a príslušníkov zboru, obojstranná vzájomná účasť na vedeckých podujatiach a participácia komory pri normotvornej činnosti prispieva k prehlbovaniu vzájomnej spolupráce strán memoranda.</w:t>
      </w:r>
    </w:p>
    <w:p w14:paraId="589A08E7" w14:textId="77777777" w:rsidR="002040AD" w:rsidRPr="002040AD" w:rsidRDefault="002040AD" w:rsidP="002040AD">
      <w:pPr>
        <w:numPr>
          <w:ilvl w:val="0"/>
          <w:numId w:val="1"/>
        </w:numPr>
        <w:spacing w:line="480" w:lineRule="auto"/>
        <w:ind w:left="375"/>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Toto memorandum o spolupráci má za cieľ vymedziť všeobecný rámec spolupráce medzi stranami memoranda najmä v oblasti rozvíjania vzdelávacích a normotvorných aktivít. Vzhľadom na záujem strán memoranda o rozšírenie ich spolupráce a napĺňanie spoločných cieľov generálne riaditeľstvo a komora prijali toto memorandum na báze dobrovoľnosti a na princípe obojstrannej výhodnosti a podpory.</w:t>
      </w:r>
    </w:p>
    <w:p w14:paraId="3D090DAB" w14:textId="77777777" w:rsidR="002F23B7" w:rsidRDefault="002F23B7" w:rsidP="002040AD">
      <w:pPr>
        <w:spacing w:after="192"/>
        <w:outlineLvl w:val="2"/>
        <w:rPr>
          <w:rFonts w:ascii="Playfair Display" w:eastAsia="Times New Roman" w:hAnsi="Playfair Display" w:cs="Times New Roman"/>
          <w:color w:val="1D1D1D"/>
          <w:sz w:val="27"/>
          <w:szCs w:val="27"/>
          <w:lang w:eastAsia="en-GB"/>
        </w:rPr>
      </w:pPr>
    </w:p>
    <w:p w14:paraId="28545A5D" w14:textId="121B5142" w:rsidR="002040AD" w:rsidRDefault="002040AD" w:rsidP="002040AD">
      <w:pPr>
        <w:spacing w:after="192"/>
        <w:outlineLvl w:val="2"/>
        <w:rPr>
          <w:rFonts w:ascii="Playfair Display" w:eastAsia="Times New Roman" w:hAnsi="Playfair Display" w:cs="Times New Roman"/>
          <w:color w:val="1D1D1D"/>
          <w:sz w:val="27"/>
          <w:szCs w:val="27"/>
          <w:lang w:eastAsia="en-GB"/>
        </w:rPr>
      </w:pPr>
      <w:r w:rsidRPr="002040AD">
        <w:rPr>
          <w:rFonts w:ascii="Playfair Display" w:eastAsia="Times New Roman" w:hAnsi="Playfair Display" w:cs="Times New Roman"/>
          <w:color w:val="1D1D1D"/>
          <w:sz w:val="27"/>
          <w:szCs w:val="27"/>
          <w:lang w:eastAsia="en-GB"/>
        </w:rPr>
        <w:t>Čl. 1</w:t>
      </w:r>
    </w:p>
    <w:p w14:paraId="34064DF2" w14:textId="77777777" w:rsidR="002040AD" w:rsidRPr="002040AD" w:rsidRDefault="002040AD" w:rsidP="002040AD">
      <w:pPr>
        <w:spacing w:after="192"/>
        <w:outlineLvl w:val="2"/>
        <w:rPr>
          <w:rFonts w:ascii="Playfair Display" w:eastAsia="Times New Roman" w:hAnsi="Playfair Display" w:cs="Times New Roman"/>
          <w:color w:val="1D1D1D"/>
          <w:sz w:val="27"/>
          <w:szCs w:val="27"/>
          <w:lang w:eastAsia="en-GB"/>
        </w:rPr>
      </w:pPr>
    </w:p>
    <w:p w14:paraId="471B7076" w14:textId="1F5E37E8" w:rsidR="002040AD" w:rsidRDefault="002040AD" w:rsidP="002F23B7">
      <w:pPr>
        <w:spacing w:line="480" w:lineRule="auto"/>
        <w:rPr>
          <w:rFonts w:ascii="Playfair Display" w:eastAsia="Times New Roman" w:hAnsi="Playfair Display" w:cs="poppins"/>
          <w:color w:val="1D1D1D"/>
          <w:sz w:val="21"/>
          <w:szCs w:val="21"/>
          <w:lang w:eastAsia="en-GB"/>
        </w:rPr>
      </w:pPr>
      <w:r w:rsidRPr="002F23B7">
        <w:rPr>
          <w:rFonts w:ascii="Playfair Display" w:eastAsia="Times New Roman" w:hAnsi="Playfair Display" w:cs="poppins"/>
          <w:color w:val="1D1D1D"/>
          <w:sz w:val="21"/>
          <w:szCs w:val="21"/>
          <w:lang w:eastAsia="en-GB"/>
        </w:rPr>
        <w:t>Účelom tohto memoranda je vymedziť spôsoby a okruh činností, ktoré sa generálne riaditeľstvo a komora na dobrovoľnej báze zaviazali vzájomne zabezpečovať.</w:t>
      </w:r>
    </w:p>
    <w:p w14:paraId="7C939080" w14:textId="77777777" w:rsidR="002F23B7" w:rsidRPr="002F23B7" w:rsidRDefault="002F23B7" w:rsidP="002F23B7">
      <w:pPr>
        <w:spacing w:line="480" w:lineRule="auto"/>
        <w:rPr>
          <w:rFonts w:ascii="Playfair Display" w:eastAsia="Times New Roman" w:hAnsi="Playfair Display" w:cs="poppins"/>
          <w:color w:val="1D1D1D"/>
          <w:sz w:val="21"/>
          <w:szCs w:val="21"/>
          <w:lang w:eastAsia="en-GB"/>
        </w:rPr>
      </w:pPr>
    </w:p>
    <w:p w14:paraId="02B62E12" w14:textId="441B7ACE" w:rsidR="002040AD" w:rsidRDefault="002040AD" w:rsidP="002040AD">
      <w:pPr>
        <w:spacing w:after="192"/>
        <w:outlineLvl w:val="2"/>
        <w:rPr>
          <w:rFonts w:ascii="Playfair Display" w:eastAsia="Times New Roman" w:hAnsi="Playfair Display" w:cs="Times New Roman"/>
          <w:color w:val="1D1D1D"/>
          <w:sz w:val="27"/>
          <w:szCs w:val="27"/>
          <w:lang w:eastAsia="en-GB"/>
        </w:rPr>
      </w:pPr>
      <w:r w:rsidRPr="002040AD">
        <w:rPr>
          <w:rFonts w:ascii="Playfair Display" w:eastAsia="Times New Roman" w:hAnsi="Playfair Display" w:cs="Times New Roman"/>
          <w:color w:val="1D1D1D"/>
          <w:sz w:val="27"/>
          <w:szCs w:val="27"/>
          <w:lang w:eastAsia="en-GB"/>
        </w:rPr>
        <w:lastRenderedPageBreak/>
        <w:t>Čl. 2</w:t>
      </w:r>
    </w:p>
    <w:p w14:paraId="6D4317DC" w14:textId="77777777" w:rsidR="002F23B7" w:rsidRPr="002040AD" w:rsidRDefault="002F23B7" w:rsidP="002040AD">
      <w:pPr>
        <w:spacing w:after="192"/>
        <w:outlineLvl w:val="2"/>
        <w:rPr>
          <w:rFonts w:ascii="Playfair Display" w:eastAsia="Times New Roman" w:hAnsi="Playfair Display" w:cs="Times New Roman"/>
          <w:color w:val="1D1D1D"/>
          <w:sz w:val="27"/>
          <w:szCs w:val="27"/>
          <w:lang w:eastAsia="en-GB"/>
        </w:rPr>
      </w:pPr>
    </w:p>
    <w:p w14:paraId="22121BCB" w14:textId="77777777" w:rsidR="002040AD" w:rsidRPr="002040AD" w:rsidRDefault="002040AD" w:rsidP="002040AD">
      <w:pPr>
        <w:numPr>
          <w:ilvl w:val="0"/>
          <w:numId w:val="2"/>
        </w:numPr>
        <w:spacing w:line="480" w:lineRule="auto"/>
        <w:ind w:left="375"/>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Generálne riaditeľstvo sa zaväzuje s komorou spolupracovať v súlade so všeobecne záväznými právnymi predpismi platnými na území Slovenskej republiky a internými predpismi zboru. Generálne riaditeľstvo sa zaväzuje po predchádzajúcej dohode zapájať formou praktických seminárov do vzdelávania advokátskych koncipientov, umožňovať účasť na svojich vedeckých podujatiach, ako aj spolupodieľať sa na riešení ostatných organizačno-technických otázok dotýkajúcich sa práce advokátov v ústavoch.</w:t>
      </w:r>
    </w:p>
    <w:p w14:paraId="2BC0F784" w14:textId="77777777" w:rsidR="002040AD" w:rsidRPr="002040AD" w:rsidRDefault="002040AD" w:rsidP="002040AD">
      <w:pPr>
        <w:numPr>
          <w:ilvl w:val="0"/>
          <w:numId w:val="2"/>
        </w:numPr>
        <w:spacing w:line="480" w:lineRule="auto"/>
        <w:ind w:left="375"/>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Komora týmto deklaruje svoj úmysel zapájať sa do základného odborného vzdelávania príslušníkov zboru, umožňovať im po predchádzajúcej dohode účasť na svojich vedeckých podujatiach a zapájať sa do normotvornej činnosti pri kreovaní všeobecne záväzných podmienok výkonu väzby a výkonu trestu odňatia slobody.</w:t>
      </w:r>
    </w:p>
    <w:p w14:paraId="24E45959" w14:textId="41F749C2" w:rsidR="002040AD" w:rsidRDefault="002040AD" w:rsidP="002040AD">
      <w:pPr>
        <w:spacing w:after="192"/>
        <w:outlineLvl w:val="2"/>
        <w:rPr>
          <w:rFonts w:ascii="Playfair Display" w:eastAsia="Times New Roman" w:hAnsi="Playfair Display" w:cs="Times New Roman"/>
          <w:color w:val="1D1D1D"/>
          <w:sz w:val="27"/>
          <w:szCs w:val="27"/>
          <w:lang w:eastAsia="en-GB"/>
        </w:rPr>
      </w:pPr>
      <w:r w:rsidRPr="002040AD">
        <w:rPr>
          <w:rFonts w:ascii="Playfair Display" w:eastAsia="Times New Roman" w:hAnsi="Playfair Display" w:cs="Times New Roman"/>
          <w:color w:val="1D1D1D"/>
          <w:sz w:val="27"/>
          <w:szCs w:val="27"/>
          <w:lang w:eastAsia="en-GB"/>
        </w:rPr>
        <w:t>Čl. 3.</w:t>
      </w:r>
    </w:p>
    <w:p w14:paraId="46D5749D" w14:textId="77777777" w:rsidR="002F23B7" w:rsidRPr="002040AD" w:rsidRDefault="002F23B7" w:rsidP="002040AD">
      <w:pPr>
        <w:spacing w:after="192"/>
        <w:outlineLvl w:val="2"/>
        <w:rPr>
          <w:rFonts w:ascii="Playfair Display" w:eastAsia="Times New Roman" w:hAnsi="Playfair Display" w:cs="Times New Roman"/>
          <w:color w:val="1D1D1D"/>
          <w:sz w:val="27"/>
          <w:szCs w:val="27"/>
          <w:lang w:eastAsia="en-GB"/>
        </w:rPr>
      </w:pPr>
    </w:p>
    <w:p w14:paraId="67446F5D" w14:textId="05E77C69" w:rsidR="002040AD" w:rsidRDefault="002040AD" w:rsidP="002F23B7">
      <w:pPr>
        <w:spacing w:line="480" w:lineRule="auto"/>
        <w:rPr>
          <w:rFonts w:ascii="Playfair Display" w:eastAsia="Times New Roman" w:hAnsi="Playfair Display" w:cs="poppins"/>
          <w:color w:val="1D1D1D"/>
          <w:sz w:val="21"/>
          <w:szCs w:val="21"/>
          <w:lang w:eastAsia="en-GB"/>
        </w:rPr>
      </w:pPr>
      <w:r w:rsidRPr="002F23B7">
        <w:rPr>
          <w:rFonts w:ascii="Playfair Display" w:eastAsia="Times New Roman" w:hAnsi="Playfair Display" w:cs="poppins"/>
          <w:color w:val="1D1D1D"/>
          <w:sz w:val="21"/>
          <w:szCs w:val="21"/>
          <w:lang w:eastAsia="en-GB"/>
        </w:rPr>
        <w:t>Vzájomná spolupráca strán memoranda bude realizovaná najmä v týchto oblastiach:</w:t>
      </w:r>
    </w:p>
    <w:p w14:paraId="1C9C85AA" w14:textId="77777777" w:rsidR="002F23B7" w:rsidRPr="002F23B7" w:rsidRDefault="002F23B7" w:rsidP="002F23B7">
      <w:pPr>
        <w:spacing w:line="480" w:lineRule="auto"/>
        <w:rPr>
          <w:rFonts w:ascii="Playfair Display" w:eastAsia="Times New Roman" w:hAnsi="Playfair Display" w:cs="poppins"/>
          <w:color w:val="1D1D1D"/>
          <w:sz w:val="21"/>
          <w:szCs w:val="21"/>
          <w:lang w:eastAsia="en-GB"/>
        </w:rPr>
      </w:pPr>
    </w:p>
    <w:p w14:paraId="4771404A" w14:textId="35D3F3DA" w:rsidR="002040AD" w:rsidRPr="002F23B7" w:rsidRDefault="002040AD" w:rsidP="002F23B7">
      <w:pPr>
        <w:numPr>
          <w:ilvl w:val="0"/>
          <w:numId w:val="3"/>
        </w:numPr>
        <w:spacing w:line="480" w:lineRule="auto"/>
        <w:ind w:left="374" w:hanging="357"/>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b/>
          <w:bCs/>
          <w:color w:val="1D1D1D"/>
          <w:sz w:val="21"/>
          <w:szCs w:val="21"/>
          <w:lang w:eastAsia="en-GB"/>
        </w:rPr>
        <w:t>Vzdelávacie aktivity:</w:t>
      </w:r>
    </w:p>
    <w:p w14:paraId="1F3EC96B" w14:textId="77777777" w:rsidR="002F23B7" w:rsidRPr="002040AD" w:rsidRDefault="002F23B7" w:rsidP="002F23B7">
      <w:pPr>
        <w:spacing w:line="480" w:lineRule="auto"/>
        <w:ind w:left="17"/>
        <w:rPr>
          <w:rFonts w:ascii="Playfair Display" w:eastAsia="Times New Roman" w:hAnsi="Playfair Display" w:cs="poppins"/>
          <w:color w:val="1D1D1D"/>
          <w:sz w:val="21"/>
          <w:szCs w:val="21"/>
          <w:lang w:eastAsia="en-GB"/>
        </w:rPr>
      </w:pPr>
    </w:p>
    <w:p w14:paraId="459E558D" w14:textId="207EF669" w:rsidR="002F23B7" w:rsidRPr="002F23B7" w:rsidRDefault="002040AD" w:rsidP="002F23B7">
      <w:pPr>
        <w:pStyle w:val="ListParagraph"/>
        <w:numPr>
          <w:ilvl w:val="0"/>
          <w:numId w:val="8"/>
        </w:numPr>
        <w:spacing w:line="480" w:lineRule="auto"/>
        <w:rPr>
          <w:rFonts w:ascii="Playfair Display" w:eastAsia="Times New Roman" w:hAnsi="Playfair Display" w:cs="poppins"/>
          <w:color w:val="1D1D1D"/>
          <w:sz w:val="21"/>
          <w:szCs w:val="21"/>
          <w:lang w:eastAsia="en-GB"/>
        </w:rPr>
      </w:pPr>
      <w:r w:rsidRPr="002F23B7">
        <w:rPr>
          <w:rFonts w:ascii="Playfair Display" w:eastAsia="Times New Roman" w:hAnsi="Playfair Display" w:cs="poppins"/>
          <w:color w:val="1D1D1D"/>
          <w:sz w:val="21"/>
          <w:szCs w:val="21"/>
          <w:lang w:eastAsia="en-GB"/>
        </w:rPr>
        <w:t>zapojenie zboru do vzdelávania advokátskych koncipientov formou praktického seminára realizovaného vo vybraných ústavoch na výkon väzby a ústavoch na výkon trestu odňatia slobody, obsahom ktorého budú informácie a praktické ukážky činnosti pracovníkov ústavu pri:</w:t>
      </w:r>
    </w:p>
    <w:p w14:paraId="76130A74" w14:textId="10FD3CA1" w:rsidR="002040AD" w:rsidRPr="002F23B7" w:rsidRDefault="002040AD" w:rsidP="002F23B7">
      <w:pPr>
        <w:pStyle w:val="ListParagraph"/>
        <w:numPr>
          <w:ilvl w:val="0"/>
          <w:numId w:val="10"/>
        </w:numPr>
        <w:spacing w:line="480" w:lineRule="auto"/>
        <w:rPr>
          <w:rFonts w:ascii="Playfair Display" w:eastAsia="Times New Roman" w:hAnsi="Playfair Display" w:cs="poppins"/>
          <w:color w:val="1D1D1D"/>
          <w:sz w:val="21"/>
          <w:szCs w:val="21"/>
          <w:lang w:eastAsia="en-GB"/>
        </w:rPr>
      </w:pPr>
      <w:r w:rsidRPr="002F23B7">
        <w:rPr>
          <w:rFonts w:ascii="Playfair Display" w:eastAsia="Times New Roman" w:hAnsi="Playfair Display" w:cs="poppins"/>
          <w:color w:val="1D1D1D"/>
          <w:sz w:val="21"/>
          <w:szCs w:val="21"/>
          <w:lang w:eastAsia="en-GB"/>
        </w:rPr>
        <w:t>úkonoch súvisiacich so zabezpečením styku obhajcu s väznenou osobou, najmä:</w:t>
      </w:r>
    </w:p>
    <w:p w14:paraId="5384EB3E" w14:textId="77777777" w:rsidR="002040AD" w:rsidRPr="002040AD" w:rsidRDefault="002040AD" w:rsidP="002F23B7">
      <w:pPr>
        <w:numPr>
          <w:ilvl w:val="0"/>
          <w:numId w:val="11"/>
        </w:numPr>
        <w:spacing w:line="480" w:lineRule="auto"/>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posudzovanie a administrácia žiadostí o predvedenie obvineného a žiadostí o návštevu s obvineným alebo odsúdeným za účelom poskytnutia právnej pomoci,</w:t>
      </w:r>
    </w:p>
    <w:p w14:paraId="2D4180F7" w14:textId="77777777" w:rsidR="002040AD" w:rsidRPr="002040AD" w:rsidRDefault="002040AD" w:rsidP="002F23B7">
      <w:pPr>
        <w:numPr>
          <w:ilvl w:val="0"/>
          <w:numId w:val="11"/>
        </w:numPr>
        <w:spacing w:line="480" w:lineRule="auto"/>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lastRenderedPageBreak/>
        <w:t>úlohy a oprávnenia príslušníka zboru na vchode do ústavu,</w:t>
      </w:r>
    </w:p>
    <w:p w14:paraId="44FD5C98" w14:textId="77777777" w:rsidR="002040AD" w:rsidRPr="002040AD" w:rsidRDefault="002040AD" w:rsidP="002F23B7">
      <w:pPr>
        <w:numPr>
          <w:ilvl w:val="0"/>
          <w:numId w:val="11"/>
        </w:numPr>
        <w:spacing w:line="480" w:lineRule="auto"/>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realizácia predvedenia (možnosti používania technických prostriedkov; čas predvedenia; písomnosti, ktoré môže mať obvinený pri sebe; vydávanie potvrdenia o predvedení; dohľad príslušníka zboru nad realizáciou predvedenia; limity účasti iných osôb na úkonoch počas predvedenia obvineného),</w:t>
      </w:r>
    </w:p>
    <w:p w14:paraId="46D61D64" w14:textId="77777777" w:rsidR="002040AD" w:rsidRPr="002040AD" w:rsidRDefault="002040AD" w:rsidP="002F23B7">
      <w:pPr>
        <w:numPr>
          <w:ilvl w:val="0"/>
          <w:numId w:val="11"/>
        </w:numPr>
        <w:spacing w:line="480" w:lineRule="auto"/>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iné formy právnej pomoci a spôsob ich zabezpečenia (používanie telefónu; korešpondencia),</w:t>
      </w:r>
    </w:p>
    <w:p w14:paraId="1F326DEE" w14:textId="75BFAE73" w:rsidR="002040AD" w:rsidRDefault="002040AD" w:rsidP="002F23B7">
      <w:pPr>
        <w:numPr>
          <w:ilvl w:val="0"/>
          <w:numId w:val="11"/>
        </w:numPr>
        <w:spacing w:line="480" w:lineRule="auto"/>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informačná povinnosť zboru vo vzťahu k obhajcovi (premiestnenie obvineného; úmrtie obvineného a odsúdeného; informácie o správaní odsúdeného) a jej zákonné limity (poznatky o priebehu výkonu trestu odňatia slobody).</w:t>
      </w:r>
    </w:p>
    <w:p w14:paraId="5594659E" w14:textId="77777777" w:rsidR="002F23B7" w:rsidRPr="002040AD" w:rsidRDefault="002F23B7" w:rsidP="002F23B7">
      <w:pPr>
        <w:spacing w:line="480" w:lineRule="auto"/>
        <w:rPr>
          <w:rFonts w:ascii="Playfair Display" w:eastAsia="Times New Roman" w:hAnsi="Playfair Display" w:cs="poppins"/>
          <w:color w:val="1D1D1D"/>
          <w:sz w:val="21"/>
          <w:szCs w:val="21"/>
          <w:lang w:eastAsia="en-GB"/>
        </w:rPr>
      </w:pPr>
    </w:p>
    <w:p w14:paraId="6CB00CD0" w14:textId="42814EFA" w:rsidR="002040AD" w:rsidRPr="002F23B7" w:rsidRDefault="002040AD" w:rsidP="002F23B7">
      <w:pPr>
        <w:pStyle w:val="ListParagraph"/>
        <w:numPr>
          <w:ilvl w:val="0"/>
          <w:numId w:val="10"/>
        </w:numPr>
        <w:spacing w:line="480" w:lineRule="auto"/>
        <w:rPr>
          <w:rFonts w:ascii="Playfair Display" w:eastAsia="Times New Roman" w:hAnsi="Playfair Display" w:cs="poppins"/>
          <w:color w:val="1D1D1D"/>
          <w:sz w:val="21"/>
          <w:szCs w:val="21"/>
          <w:lang w:eastAsia="en-GB"/>
        </w:rPr>
      </w:pPr>
      <w:r w:rsidRPr="002F23B7">
        <w:rPr>
          <w:rFonts w:ascii="Playfair Display" w:eastAsia="Times New Roman" w:hAnsi="Playfair Display" w:cs="poppins"/>
          <w:color w:val="1D1D1D"/>
          <w:sz w:val="21"/>
          <w:szCs w:val="21"/>
          <w:lang w:eastAsia="en-GB"/>
        </w:rPr>
        <w:t>základných podmienkach výkonu väzby a výkonu trestu odňatia slobody, najmä:</w:t>
      </w:r>
    </w:p>
    <w:p w14:paraId="38E88119" w14:textId="77777777" w:rsidR="002040AD" w:rsidRPr="002040AD" w:rsidRDefault="002040AD" w:rsidP="002F23B7">
      <w:pPr>
        <w:numPr>
          <w:ilvl w:val="0"/>
          <w:numId w:val="11"/>
        </w:numPr>
        <w:spacing w:line="480" w:lineRule="auto"/>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postup pri prijatí obvineného do výkonu väzby a odsúdeného do výkonu trestu odňatia slobody (výkon osobnej prehliadky a administrácia jej výsledku; oboznamovanie s právami a povinnosťami; výkon lekárskej prehliadky; veci, ktoré si obvinený a odsúdený môže pri sebe v ústave ponechať),</w:t>
      </w:r>
    </w:p>
    <w:p w14:paraId="4AAD6789" w14:textId="77777777" w:rsidR="002040AD" w:rsidRPr="002040AD" w:rsidRDefault="002040AD" w:rsidP="002F23B7">
      <w:pPr>
        <w:numPr>
          <w:ilvl w:val="0"/>
          <w:numId w:val="11"/>
        </w:numPr>
        <w:spacing w:line="480" w:lineRule="auto"/>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zásady umiestňovania a premiestňovania obvinených a odsúdených;</w:t>
      </w:r>
    </w:p>
    <w:p w14:paraId="7969C93C" w14:textId="77777777" w:rsidR="002040AD" w:rsidRPr="002040AD" w:rsidRDefault="002040AD" w:rsidP="002F23B7">
      <w:pPr>
        <w:numPr>
          <w:ilvl w:val="0"/>
          <w:numId w:val="11"/>
        </w:numPr>
        <w:spacing w:line="480" w:lineRule="auto"/>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zásady diferencovaného výkonu väzby (podmienky výkonu väzby v zmiernenom režime),</w:t>
      </w:r>
    </w:p>
    <w:p w14:paraId="6A59F429" w14:textId="77777777" w:rsidR="002040AD" w:rsidRPr="002040AD" w:rsidRDefault="002040AD" w:rsidP="002F23B7">
      <w:pPr>
        <w:numPr>
          <w:ilvl w:val="0"/>
          <w:numId w:val="11"/>
        </w:numPr>
        <w:spacing w:line="480" w:lineRule="auto"/>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zabezpečovanie práv obvinených a odsúdených a význam zákonom určených povinností pri zabezpečení poriadku a bezpečného výkonu väzby a trestu odňatia slobody (význam ústavného poriadku),</w:t>
      </w:r>
    </w:p>
    <w:p w14:paraId="17F8C25B" w14:textId="77777777" w:rsidR="002040AD" w:rsidRPr="002040AD" w:rsidRDefault="002040AD" w:rsidP="002F23B7">
      <w:pPr>
        <w:numPr>
          <w:ilvl w:val="0"/>
          <w:numId w:val="11"/>
        </w:numPr>
        <w:spacing w:line="480" w:lineRule="auto"/>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zásady diferencovaného výkonu trestu odňatia slobody a špecializovaný výkon trestu,</w:t>
      </w:r>
    </w:p>
    <w:p w14:paraId="3D44E165" w14:textId="77777777" w:rsidR="002040AD" w:rsidRPr="002040AD" w:rsidRDefault="002040AD" w:rsidP="002F23B7">
      <w:pPr>
        <w:numPr>
          <w:ilvl w:val="0"/>
          <w:numId w:val="11"/>
        </w:numPr>
        <w:spacing w:line="480" w:lineRule="auto"/>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lastRenderedPageBreak/>
        <w:t>podmienečné prepustenie (formálne podmienky, materiálne podmienky a ich hodnotenie príslušníkmi zboru),</w:t>
      </w:r>
    </w:p>
    <w:p w14:paraId="1687AC59" w14:textId="77777777" w:rsidR="002040AD" w:rsidRPr="002040AD" w:rsidRDefault="002040AD" w:rsidP="002F23B7">
      <w:pPr>
        <w:numPr>
          <w:ilvl w:val="0"/>
          <w:numId w:val="11"/>
        </w:numPr>
        <w:spacing w:line="480" w:lineRule="auto"/>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príprava odsúdených na prepustenie (činnosti výstupného oddielu).</w:t>
      </w:r>
    </w:p>
    <w:p w14:paraId="5D60CBE1" w14:textId="77777777" w:rsidR="002F23B7" w:rsidRPr="002F23B7" w:rsidRDefault="002F23B7" w:rsidP="002F23B7">
      <w:pPr>
        <w:spacing w:line="480" w:lineRule="auto"/>
        <w:rPr>
          <w:rFonts w:ascii="Playfair Display" w:eastAsia="Times New Roman" w:hAnsi="Playfair Display" w:cs="poppins"/>
          <w:color w:val="1D1D1D"/>
          <w:sz w:val="21"/>
          <w:szCs w:val="21"/>
          <w:lang w:eastAsia="en-GB"/>
        </w:rPr>
      </w:pPr>
    </w:p>
    <w:p w14:paraId="6DEB7ED6" w14:textId="58942F8C" w:rsidR="002040AD" w:rsidRDefault="002040AD" w:rsidP="002F23B7">
      <w:pPr>
        <w:pStyle w:val="ListParagraph"/>
        <w:numPr>
          <w:ilvl w:val="0"/>
          <w:numId w:val="8"/>
        </w:numPr>
        <w:spacing w:line="480" w:lineRule="auto"/>
        <w:rPr>
          <w:rFonts w:ascii="Playfair Display" w:eastAsia="Times New Roman" w:hAnsi="Playfair Display" w:cs="poppins"/>
          <w:color w:val="1D1D1D"/>
          <w:sz w:val="21"/>
          <w:szCs w:val="21"/>
          <w:lang w:eastAsia="en-GB"/>
        </w:rPr>
      </w:pPr>
      <w:r w:rsidRPr="002F23B7">
        <w:rPr>
          <w:rFonts w:ascii="Playfair Display" w:eastAsia="Times New Roman" w:hAnsi="Playfair Display" w:cs="poppins"/>
          <w:color w:val="1D1D1D"/>
          <w:sz w:val="21"/>
          <w:szCs w:val="21"/>
          <w:lang w:eastAsia="en-GB"/>
        </w:rPr>
        <w:t>zapojenie komory do základného odborného vzdelávania príslušníkov zboru v rozsahu základných informácií o význame a obhajcu v systéme trestného práva (prečo má obvinený právo na obhajobu; aké má práva obhajca vo vzťahu k zboru),</w:t>
      </w:r>
    </w:p>
    <w:p w14:paraId="47F0E287" w14:textId="77777777" w:rsidR="002F23B7" w:rsidRPr="002F23B7" w:rsidRDefault="002F23B7" w:rsidP="002F23B7">
      <w:pPr>
        <w:spacing w:line="480" w:lineRule="auto"/>
        <w:ind w:left="15"/>
        <w:rPr>
          <w:rFonts w:ascii="Playfair Display" w:eastAsia="Times New Roman" w:hAnsi="Playfair Display" w:cs="poppins"/>
          <w:color w:val="1D1D1D"/>
          <w:sz w:val="21"/>
          <w:szCs w:val="21"/>
          <w:lang w:eastAsia="en-GB"/>
        </w:rPr>
      </w:pPr>
    </w:p>
    <w:p w14:paraId="7E6DD3E5" w14:textId="46080DCF" w:rsidR="002040AD" w:rsidRDefault="002040AD" w:rsidP="002F23B7">
      <w:pPr>
        <w:pStyle w:val="ListParagraph"/>
        <w:numPr>
          <w:ilvl w:val="0"/>
          <w:numId w:val="8"/>
        </w:numPr>
        <w:spacing w:line="480" w:lineRule="auto"/>
        <w:rPr>
          <w:rFonts w:ascii="Playfair Display" w:eastAsia="Times New Roman" w:hAnsi="Playfair Display" w:cs="poppins"/>
          <w:color w:val="1D1D1D"/>
          <w:sz w:val="21"/>
          <w:szCs w:val="21"/>
          <w:lang w:eastAsia="en-GB"/>
        </w:rPr>
      </w:pPr>
      <w:r w:rsidRPr="002F23B7">
        <w:rPr>
          <w:rFonts w:ascii="Playfair Display" w:eastAsia="Times New Roman" w:hAnsi="Playfair Display" w:cs="poppins"/>
          <w:color w:val="1D1D1D"/>
          <w:sz w:val="21"/>
          <w:szCs w:val="21"/>
          <w:lang w:eastAsia="en-GB"/>
        </w:rPr>
        <w:t>po predchádzajúcej dohode bezplatná vzájomná účasť na vedeckých podujatiach (konferenciách a seminároch) zameraných na oblasť trestného práva organizovaných zborom alebo komorou.</w:t>
      </w:r>
    </w:p>
    <w:p w14:paraId="3E06A42D" w14:textId="77777777" w:rsidR="002F23B7" w:rsidRPr="002F23B7" w:rsidRDefault="002F23B7" w:rsidP="002F23B7">
      <w:pPr>
        <w:spacing w:line="480" w:lineRule="auto"/>
        <w:rPr>
          <w:rFonts w:ascii="Playfair Display" w:eastAsia="Times New Roman" w:hAnsi="Playfair Display" w:cs="poppins"/>
          <w:color w:val="1D1D1D"/>
          <w:sz w:val="21"/>
          <w:szCs w:val="21"/>
          <w:lang w:eastAsia="en-GB"/>
        </w:rPr>
      </w:pPr>
    </w:p>
    <w:p w14:paraId="5D38F39A" w14:textId="46C1C278" w:rsidR="002F23B7" w:rsidRDefault="002040AD" w:rsidP="002F23B7">
      <w:pPr>
        <w:numPr>
          <w:ilvl w:val="0"/>
          <w:numId w:val="3"/>
        </w:numPr>
        <w:spacing w:line="480" w:lineRule="auto"/>
        <w:ind w:left="374" w:hanging="357"/>
        <w:rPr>
          <w:rFonts w:ascii="Playfair Display" w:eastAsia="Times New Roman" w:hAnsi="Playfair Display" w:cs="poppins"/>
          <w:b/>
          <w:bCs/>
          <w:color w:val="1D1D1D"/>
          <w:sz w:val="21"/>
          <w:szCs w:val="21"/>
          <w:lang w:eastAsia="en-GB"/>
        </w:rPr>
      </w:pPr>
      <w:r w:rsidRPr="002F23B7">
        <w:rPr>
          <w:rFonts w:ascii="Playfair Display" w:eastAsia="Times New Roman" w:hAnsi="Playfair Display" w:cs="poppins"/>
          <w:b/>
          <w:bCs/>
          <w:color w:val="1D1D1D"/>
          <w:sz w:val="21"/>
          <w:szCs w:val="21"/>
          <w:lang w:eastAsia="en-GB"/>
        </w:rPr>
        <w:t>Normotvorná činnosť</w:t>
      </w:r>
    </w:p>
    <w:p w14:paraId="124E6311" w14:textId="77777777" w:rsidR="002F23B7" w:rsidRPr="002F23B7" w:rsidRDefault="002F23B7" w:rsidP="002F23B7">
      <w:pPr>
        <w:spacing w:line="480" w:lineRule="auto"/>
        <w:ind w:left="17"/>
        <w:rPr>
          <w:rFonts w:ascii="Playfair Display" w:eastAsia="Times New Roman" w:hAnsi="Playfair Display" w:cs="poppins"/>
          <w:b/>
          <w:bCs/>
          <w:color w:val="1D1D1D"/>
          <w:sz w:val="21"/>
          <w:szCs w:val="21"/>
          <w:lang w:eastAsia="en-GB"/>
        </w:rPr>
      </w:pPr>
    </w:p>
    <w:p w14:paraId="47374DBB" w14:textId="1CB7BD8B" w:rsidR="002040AD" w:rsidRDefault="002040AD" w:rsidP="002F23B7">
      <w:pPr>
        <w:spacing w:line="480" w:lineRule="auto"/>
        <w:ind w:left="15"/>
        <w:rPr>
          <w:rFonts w:ascii="Playfair Display" w:eastAsia="Times New Roman" w:hAnsi="Playfair Display" w:cs="poppins"/>
          <w:color w:val="1D1D1D"/>
          <w:sz w:val="21"/>
          <w:szCs w:val="21"/>
          <w:lang w:eastAsia="en-GB"/>
        </w:rPr>
      </w:pPr>
      <w:r w:rsidRPr="002F23B7">
        <w:rPr>
          <w:rFonts w:ascii="Playfair Display" w:eastAsia="Times New Roman" w:hAnsi="Playfair Display" w:cs="poppins"/>
          <w:color w:val="1D1D1D"/>
          <w:sz w:val="21"/>
          <w:szCs w:val="21"/>
          <w:lang w:eastAsia="en-GB"/>
        </w:rPr>
        <w:t>Zapojenie zástupcov komory do prípravných prác a tvorby podkladov normatívnej úpravy všeobecne záväzných podmienok výkonu väzby a výkonu trestu odňatia slobody.</w:t>
      </w:r>
    </w:p>
    <w:p w14:paraId="4FEF3A6A" w14:textId="77777777" w:rsidR="002F23B7" w:rsidRPr="002F23B7" w:rsidRDefault="002F23B7" w:rsidP="002F23B7">
      <w:pPr>
        <w:spacing w:line="480" w:lineRule="auto"/>
        <w:ind w:left="15"/>
        <w:rPr>
          <w:rFonts w:ascii="Playfair Display" w:eastAsia="Times New Roman" w:hAnsi="Playfair Display" w:cs="poppins"/>
          <w:color w:val="1D1D1D"/>
          <w:sz w:val="21"/>
          <w:szCs w:val="21"/>
          <w:lang w:eastAsia="en-GB"/>
        </w:rPr>
      </w:pPr>
    </w:p>
    <w:p w14:paraId="2FADE224" w14:textId="174B7C55" w:rsidR="002040AD" w:rsidRDefault="002040AD" w:rsidP="002F23B7">
      <w:pPr>
        <w:numPr>
          <w:ilvl w:val="0"/>
          <w:numId w:val="3"/>
        </w:numPr>
        <w:spacing w:line="480" w:lineRule="auto"/>
        <w:ind w:left="374" w:hanging="357"/>
        <w:rPr>
          <w:rFonts w:ascii="Playfair Display" w:eastAsia="Times New Roman" w:hAnsi="Playfair Display" w:cs="poppins"/>
          <w:b/>
          <w:bCs/>
          <w:color w:val="1D1D1D"/>
          <w:sz w:val="21"/>
          <w:szCs w:val="21"/>
          <w:lang w:eastAsia="en-GB"/>
        </w:rPr>
      </w:pPr>
      <w:r w:rsidRPr="002F23B7">
        <w:rPr>
          <w:rFonts w:ascii="Playfair Display" w:eastAsia="Times New Roman" w:hAnsi="Playfair Display" w:cs="poppins"/>
          <w:b/>
          <w:bCs/>
          <w:color w:val="1D1D1D"/>
          <w:sz w:val="21"/>
          <w:szCs w:val="21"/>
          <w:lang w:eastAsia="en-GB"/>
        </w:rPr>
        <w:t>Organizačno-technické otázky</w:t>
      </w:r>
    </w:p>
    <w:p w14:paraId="45ED826C" w14:textId="77777777" w:rsidR="002F23B7" w:rsidRPr="002F23B7" w:rsidRDefault="002F23B7" w:rsidP="002F23B7">
      <w:pPr>
        <w:spacing w:line="480" w:lineRule="auto"/>
        <w:ind w:left="17"/>
        <w:rPr>
          <w:rFonts w:ascii="Playfair Display" w:eastAsia="Times New Roman" w:hAnsi="Playfair Display" w:cs="poppins"/>
          <w:b/>
          <w:bCs/>
          <w:color w:val="1D1D1D"/>
          <w:sz w:val="21"/>
          <w:szCs w:val="21"/>
          <w:lang w:eastAsia="en-GB"/>
        </w:rPr>
      </w:pPr>
    </w:p>
    <w:p w14:paraId="3CC94570" w14:textId="05E5E9A6" w:rsidR="002040AD" w:rsidRPr="002F23B7" w:rsidRDefault="002040AD" w:rsidP="002F23B7">
      <w:pPr>
        <w:pStyle w:val="ListParagraph"/>
        <w:numPr>
          <w:ilvl w:val="0"/>
          <w:numId w:val="12"/>
        </w:numPr>
        <w:spacing w:line="480" w:lineRule="auto"/>
        <w:rPr>
          <w:rFonts w:ascii="Playfair Display" w:eastAsia="Times New Roman" w:hAnsi="Playfair Display" w:cs="poppins"/>
          <w:color w:val="1D1D1D"/>
          <w:sz w:val="21"/>
          <w:szCs w:val="21"/>
          <w:lang w:eastAsia="en-GB"/>
        </w:rPr>
      </w:pPr>
      <w:r w:rsidRPr="002F23B7">
        <w:rPr>
          <w:rFonts w:ascii="Playfair Display" w:eastAsia="Times New Roman" w:hAnsi="Playfair Display" w:cs="poppins"/>
          <w:color w:val="1D1D1D"/>
          <w:sz w:val="21"/>
          <w:szCs w:val="21"/>
          <w:lang w:eastAsia="en-GB"/>
        </w:rPr>
        <w:t>vyhľadávanie mimorozpočtových zdrojov a podávanie spoločných projektov zameraných na zlepšovanie materiálno-technických podmienok na prácu advokátov v ústavoch,</w:t>
      </w:r>
    </w:p>
    <w:p w14:paraId="1079A2AC" w14:textId="4B44AA9A" w:rsidR="002040AD" w:rsidRDefault="002040AD" w:rsidP="002F23B7">
      <w:pPr>
        <w:pStyle w:val="ListParagraph"/>
        <w:numPr>
          <w:ilvl w:val="0"/>
          <w:numId w:val="12"/>
        </w:numPr>
        <w:spacing w:line="480" w:lineRule="auto"/>
        <w:rPr>
          <w:rFonts w:ascii="Playfair Display" w:eastAsia="Times New Roman" w:hAnsi="Playfair Display" w:cs="poppins"/>
          <w:color w:val="1D1D1D"/>
          <w:sz w:val="21"/>
          <w:szCs w:val="21"/>
          <w:lang w:eastAsia="en-GB"/>
        </w:rPr>
      </w:pPr>
      <w:r w:rsidRPr="002F23B7">
        <w:rPr>
          <w:rFonts w:ascii="Playfair Display" w:eastAsia="Times New Roman" w:hAnsi="Playfair Display" w:cs="poppins"/>
          <w:color w:val="1D1D1D"/>
          <w:sz w:val="21"/>
          <w:szCs w:val="21"/>
          <w:lang w:eastAsia="en-GB"/>
        </w:rPr>
        <w:t>organizácia pravidelných spoločných pracovných stretnutí zameraných na riešenie aktuálnych problémov vzájomnej spolupráce a činnosti advokátov v ústavoch.</w:t>
      </w:r>
    </w:p>
    <w:p w14:paraId="2451B927" w14:textId="77777777" w:rsidR="002F23B7" w:rsidRPr="002F23B7" w:rsidRDefault="002F23B7" w:rsidP="002F23B7">
      <w:pPr>
        <w:spacing w:line="480" w:lineRule="auto"/>
        <w:ind w:left="17"/>
        <w:rPr>
          <w:rFonts w:ascii="Playfair Display" w:eastAsia="Times New Roman" w:hAnsi="Playfair Display" w:cs="poppins"/>
          <w:color w:val="1D1D1D"/>
          <w:sz w:val="21"/>
          <w:szCs w:val="21"/>
          <w:lang w:eastAsia="en-GB"/>
        </w:rPr>
      </w:pPr>
    </w:p>
    <w:p w14:paraId="1BC5A461" w14:textId="3D7C827E" w:rsidR="002F23B7" w:rsidRDefault="002040AD" w:rsidP="002F23B7">
      <w:pPr>
        <w:numPr>
          <w:ilvl w:val="0"/>
          <w:numId w:val="3"/>
        </w:numPr>
        <w:spacing w:line="480" w:lineRule="auto"/>
        <w:ind w:left="374" w:hanging="357"/>
        <w:rPr>
          <w:rFonts w:ascii="Playfair Display" w:eastAsia="Times New Roman" w:hAnsi="Playfair Display" w:cs="poppins"/>
          <w:b/>
          <w:bCs/>
          <w:color w:val="1D1D1D"/>
          <w:sz w:val="21"/>
          <w:szCs w:val="21"/>
          <w:lang w:eastAsia="en-GB"/>
        </w:rPr>
      </w:pPr>
      <w:r w:rsidRPr="002F23B7">
        <w:rPr>
          <w:rFonts w:ascii="Playfair Display" w:eastAsia="Times New Roman" w:hAnsi="Playfair Display" w:cs="poppins"/>
          <w:b/>
          <w:bCs/>
          <w:color w:val="1D1D1D"/>
          <w:sz w:val="21"/>
          <w:szCs w:val="21"/>
          <w:lang w:eastAsia="en-GB"/>
        </w:rPr>
        <w:t>Odborné tlačoviny</w:t>
      </w:r>
    </w:p>
    <w:p w14:paraId="6CA6DE9B" w14:textId="77777777" w:rsidR="002F23B7" w:rsidRPr="002F23B7" w:rsidRDefault="002F23B7" w:rsidP="002F23B7">
      <w:pPr>
        <w:spacing w:line="480" w:lineRule="auto"/>
        <w:rPr>
          <w:rFonts w:ascii="Playfair Display" w:eastAsia="Times New Roman" w:hAnsi="Playfair Display" w:cs="poppins"/>
          <w:color w:val="1D1D1D"/>
          <w:sz w:val="21"/>
          <w:szCs w:val="21"/>
          <w:lang w:eastAsia="en-GB"/>
        </w:rPr>
      </w:pPr>
    </w:p>
    <w:p w14:paraId="47C31B78" w14:textId="6F8CD04F" w:rsidR="002040AD" w:rsidRPr="002F23B7" w:rsidRDefault="002040AD" w:rsidP="002F23B7">
      <w:pPr>
        <w:spacing w:line="480" w:lineRule="auto"/>
        <w:rPr>
          <w:rFonts w:ascii="Playfair Display" w:eastAsia="Times New Roman" w:hAnsi="Playfair Display" w:cs="poppins"/>
          <w:color w:val="1D1D1D"/>
          <w:sz w:val="21"/>
          <w:szCs w:val="21"/>
          <w:lang w:eastAsia="en-GB"/>
        </w:rPr>
      </w:pPr>
      <w:r w:rsidRPr="002F23B7">
        <w:rPr>
          <w:rFonts w:ascii="Playfair Display" w:eastAsia="Times New Roman" w:hAnsi="Playfair Display" w:cs="poppins"/>
          <w:color w:val="1D1D1D"/>
          <w:sz w:val="21"/>
          <w:szCs w:val="21"/>
          <w:lang w:eastAsia="en-GB"/>
        </w:rPr>
        <w:t>Strany memoranda si za účelom vzájomnej informovanosti a propagácie recipročne poskytnú 5 ks výtlačkov rezortného časopisu Slovenské väzenstvo a 5 ks výtlačkov časopisu Bulletin slovenskej advokácie.</w:t>
      </w:r>
    </w:p>
    <w:p w14:paraId="1ED6B38A" w14:textId="77777777" w:rsidR="002F23B7" w:rsidRDefault="002F23B7" w:rsidP="002040AD">
      <w:pPr>
        <w:spacing w:after="192"/>
        <w:outlineLvl w:val="2"/>
        <w:rPr>
          <w:rFonts w:ascii="Playfair Display" w:eastAsia="Times New Roman" w:hAnsi="Playfair Display" w:cs="Times New Roman"/>
          <w:color w:val="1D1D1D"/>
          <w:sz w:val="27"/>
          <w:szCs w:val="27"/>
          <w:lang w:eastAsia="en-GB"/>
        </w:rPr>
      </w:pPr>
    </w:p>
    <w:p w14:paraId="2301B79E" w14:textId="2DB28216" w:rsidR="002040AD" w:rsidRDefault="002040AD" w:rsidP="002040AD">
      <w:pPr>
        <w:spacing w:after="192"/>
        <w:outlineLvl w:val="2"/>
        <w:rPr>
          <w:rFonts w:ascii="Playfair Display" w:eastAsia="Times New Roman" w:hAnsi="Playfair Display" w:cs="Times New Roman"/>
          <w:color w:val="1D1D1D"/>
          <w:sz w:val="27"/>
          <w:szCs w:val="27"/>
          <w:lang w:eastAsia="en-GB"/>
        </w:rPr>
      </w:pPr>
      <w:r w:rsidRPr="002040AD">
        <w:rPr>
          <w:rFonts w:ascii="Playfair Display" w:eastAsia="Times New Roman" w:hAnsi="Playfair Display" w:cs="Times New Roman"/>
          <w:color w:val="1D1D1D"/>
          <w:sz w:val="27"/>
          <w:szCs w:val="27"/>
          <w:lang w:eastAsia="en-GB"/>
        </w:rPr>
        <w:t>Čl. 4</w:t>
      </w:r>
    </w:p>
    <w:p w14:paraId="34354E60" w14:textId="77777777" w:rsidR="002F23B7" w:rsidRPr="002040AD" w:rsidRDefault="002F23B7" w:rsidP="002040AD">
      <w:pPr>
        <w:spacing w:after="192"/>
        <w:outlineLvl w:val="2"/>
        <w:rPr>
          <w:rFonts w:ascii="Playfair Display" w:eastAsia="Times New Roman" w:hAnsi="Playfair Display" w:cs="Times New Roman"/>
          <w:color w:val="1D1D1D"/>
          <w:sz w:val="27"/>
          <w:szCs w:val="27"/>
          <w:lang w:eastAsia="en-GB"/>
        </w:rPr>
      </w:pPr>
    </w:p>
    <w:p w14:paraId="13EDE6E4" w14:textId="77777777" w:rsidR="002040AD" w:rsidRPr="002040AD" w:rsidRDefault="002040AD" w:rsidP="002040AD">
      <w:pPr>
        <w:numPr>
          <w:ilvl w:val="0"/>
          <w:numId w:val="6"/>
        </w:numPr>
        <w:spacing w:line="480" w:lineRule="auto"/>
        <w:ind w:left="375"/>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Memorandum sa uzatvára na dobu neurčitú odo dňa nadobudnutia jeho účinnosti.</w:t>
      </w:r>
    </w:p>
    <w:p w14:paraId="28BF7F0A" w14:textId="77777777" w:rsidR="002040AD" w:rsidRPr="002040AD" w:rsidRDefault="002040AD" w:rsidP="002040AD">
      <w:pPr>
        <w:numPr>
          <w:ilvl w:val="0"/>
          <w:numId w:val="6"/>
        </w:numPr>
        <w:spacing w:line="480" w:lineRule="auto"/>
        <w:ind w:left="375"/>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Toto memorandum je možné skončiť:</w:t>
      </w:r>
    </w:p>
    <w:p w14:paraId="55795DAD" w14:textId="0651AB97" w:rsidR="002040AD" w:rsidRPr="002F23B7" w:rsidRDefault="002040AD" w:rsidP="002F23B7">
      <w:pPr>
        <w:pStyle w:val="ListParagraph"/>
        <w:numPr>
          <w:ilvl w:val="0"/>
          <w:numId w:val="14"/>
        </w:numPr>
        <w:spacing w:line="480" w:lineRule="auto"/>
        <w:rPr>
          <w:rFonts w:ascii="Playfair Display" w:eastAsia="Times New Roman" w:hAnsi="Playfair Display" w:cs="poppins"/>
          <w:color w:val="1D1D1D"/>
          <w:sz w:val="21"/>
          <w:szCs w:val="21"/>
          <w:lang w:eastAsia="en-GB"/>
        </w:rPr>
      </w:pPr>
      <w:r w:rsidRPr="002F23B7">
        <w:rPr>
          <w:rFonts w:ascii="Playfair Display" w:eastAsia="Times New Roman" w:hAnsi="Playfair Display" w:cs="poppins"/>
          <w:color w:val="1D1D1D"/>
          <w:sz w:val="21"/>
          <w:szCs w:val="21"/>
          <w:lang w:eastAsia="en-GB"/>
        </w:rPr>
        <w:t>písomnou dohodou strán memoranda,</w:t>
      </w:r>
    </w:p>
    <w:p w14:paraId="2C0B94C9" w14:textId="37D933FF" w:rsidR="002040AD" w:rsidRPr="002F23B7" w:rsidRDefault="002040AD" w:rsidP="002F23B7">
      <w:pPr>
        <w:pStyle w:val="ListParagraph"/>
        <w:numPr>
          <w:ilvl w:val="0"/>
          <w:numId w:val="14"/>
        </w:numPr>
        <w:spacing w:line="480" w:lineRule="auto"/>
        <w:rPr>
          <w:rFonts w:ascii="Playfair Display" w:eastAsia="Times New Roman" w:hAnsi="Playfair Display" w:cs="poppins"/>
          <w:color w:val="1D1D1D"/>
          <w:sz w:val="21"/>
          <w:szCs w:val="21"/>
          <w:lang w:eastAsia="en-GB"/>
        </w:rPr>
      </w:pPr>
      <w:r w:rsidRPr="002F23B7">
        <w:rPr>
          <w:rFonts w:ascii="Playfair Display" w:eastAsia="Times New Roman" w:hAnsi="Playfair Display" w:cs="poppins"/>
          <w:color w:val="1D1D1D"/>
          <w:sz w:val="21"/>
          <w:szCs w:val="21"/>
          <w:lang w:eastAsia="en-GB"/>
        </w:rPr>
        <w:t>písomnou výpoveďou ktorejkoľvek strany memoranda aj bez uvedenia dôvodu s výpovednou lehotou tri (3) mesiace, ktorá začína plynúť prvým dňom nasledujúceho mesiaca po jej doručení druhej strane memoranda. V prípade pochybností sa má za to, že výpoveď bola doručená tretí deň po jej odoslaní vo forme doporučenej zásielky na korešpondenčnú adresu strany memoranda uvedenú v záhlaví tohto memoranda.</w:t>
      </w:r>
    </w:p>
    <w:p w14:paraId="24EE7CE9" w14:textId="77777777" w:rsidR="002F23B7" w:rsidRDefault="002F23B7" w:rsidP="002040AD">
      <w:pPr>
        <w:spacing w:after="192"/>
        <w:outlineLvl w:val="2"/>
        <w:rPr>
          <w:rFonts w:ascii="Playfair Display" w:eastAsia="Times New Roman" w:hAnsi="Playfair Display" w:cs="Times New Roman"/>
          <w:color w:val="1D1D1D"/>
          <w:sz w:val="27"/>
          <w:szCs w:val="27"/>
          <w:lang w:eastAsia="en-GB"/>
        </w:rPr>
      </w:pPr>
    </w:p>
    <w:p w14:paraId="53579BD0" w14:textId="25C1E937" w:rsidR="002040AD" w:rsidRDefault="002040AD" w:rsidP="002040AD">
      <w:pPr>
        <w:spacing w:after="192"/>
        <w:outlineLvl w:val="2"/>
        <w:rPr>
          <w:rFonts w:ascii="Playfair Display" w:eastAsia="Times New Roman" w:hAnsi="Playfair Display" w:cs="Times New Roman"/>
          <w:color w:val="1D1D1D"/>
          <w:sz w:val="27"/>
          <w:szCs w:val="27"/>
          <w:lang w:eastAsia="en-GB"/>
        </w:rPr>
      </w:pPr>
      <w:r w:rsidRPr="002040AD">
        <w:rPr>
          <w:rFonts w:ascii="Playfair Display" w:eastAsia="Times New Roman" w:hAnsi="Playfair Display" w:cs="Times New Roman"/>
          <w:color w:val="1D1D1D"/>
          <w:sz w:val="27"/>
          <w:szCs w:val="27"/>
          <w:lang w:eastAsia="en-GB"/>
        </w:rPr>
        <w:t>Čl. 5.</w:t>
      </w:r>
    </w:p>
    <w:p w14:paraId="1B1CA3F2" w14:textId="77777777" w:rsidR="002F23B7" w:rsidRPr="002040AD" w:rsidRDefault="002F23B7" w:rsidP="002040AD">
      <w:pPr>
        <w:spacing w:after="192"/>
        <w:outlineLvl w:val="2"/>
        <w:rPr>
          <w:rFonts w:ascii="Playfair Display" w:eastAsia="Times New Roman" w:hAnsi="Playfair Display" w:cs="Times New Roman"/>
          <w:color w:val="1D1D1D"/>
          <w:sz w:val="27"/>
          <w:szCs w:val="27"/>
          <w:lang w:eastAsia="en-GB"/>
        </w:rPr>
      </w:pPr>
      <w:bookmarkStart w:id="0" w:name="_GoBack"/>
      <w:bookmarkEnd w:id="0"/>
    </w:p>
    <w:p w14:paraId="63016EA0" w14:textId="77777777" w:rsidR="002040AD" w:rsidRPr="002040AD" w:rsidRDefault="002040AD" w:rsidP="002040AD">
      <w:pPr>
        <w:numPr>
          <w:ilvl w:val="0"/>
          <w:numId w:val="7"/>
        </w:numPr>
        <w:spacing w:line="480" w:lineRule="auto"/>
        <w:ind w:left="375"/>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Memorandum nadobúda platnosť a účinnosť dňom jeho podpisu obidvoma stranami memoranda.</w:t>
      </w:r>
    </w:p>
    <w:p w14:paraId="48FDD7D3" w14:textId="77777777" w:rsidR="002040AD" w:rsidRPr="002040AD" w:rsidRDefault="002040AD" w:rsidP="002040AD">
      <w:pPr>
        <w:numPr>
          <w:ilvl w:val="0"/>
          <w:numId w:val="7"/>
        </w:numPr>
        <w:spacing w:line="480" w:lineRule="auto"/>
        <w:ind w:left="375"/>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Toto memorandum je možné meniť a dopĺňať len na základe písomných, očíslovaných a stranami memoranda podpísaných dodatkov k tomuto memorandu.</w:t>
      </w:r>
    </w:p>
    <w:p w14:paraId="4D4DA27A" w14:textId="77777777" w:rsidR="002040AD" w:rsidRPr="002040AD" w:rsidRDefault="002040AD" w:rsidP="002040AD">
      <w:pPr>
        <w:numPr>
          <w:ilvl w:val="0"/>
          <w:numId w:val="7"/>
        </w:numPr>
        <w:spacing w:line="480" w:lineRule="auto"/>
        <w:ind w:left="375"/>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t>Toto memorandum je vyhotovené v dvoch (2) rovnopisoch s platnosťou originálu, pričom každá strana memoranda dostane jeden (1) rovnopis.</w:t>
      </w:r>
    </w:p>
    <w:p w14:paraId="365F0095" w14:textId="77777777" w:rsidR="002040AD" w:rsidRPr="002040AD" w:rsidRDefault="002040AD" w:rsidP="002040AD">
      <w:pPr>
        <w:numPr>
          <w:ilvl w:val="0"/>
          <w:numId w:val="7"/>
        </w:numPr>
        <w:spacing w:line="480" w:lineRule="auto"/>
        <w:ind w:left="375"/>
        <w:rPr>
          <w:rFonts w:ascii="Playfair Display" w:eastAsia="Times New Roman" w:hAnsi="Playfair Display" w:cs="poppins"/>
          <w:color w:val="1D1D1D"/>
          <w:sz w:val="21"/>
          <w:szCs w:val="21"/>
          <w:lang w:eastAsia="en-GB"/>
        </w:rPr>
      </w:pPr>
      <w:r w:rsidRPr="002040AD">
        <w:rPr>
          <w:rFonts w:ascii="Playfair Display" w:eastAsia="Times New Roman" w:hAnsi="Playfair Display" w:cs="poppins"/>
          <w:color w:val="1D1D1D"/>
          <w:sz w:val="21"/>
          <w:szCs w:val="21"/>
          <w:lang w:eastAsia="en-GB"/>
        </w:rPr>
        <w:lastRenderedPageBreak/>
        <w:t>Strany memoranda vyhlasujú, že obsahu memoranda porozumeli a s jeho obsahom súhlasia. Toto memorandum vyjadruje ich vážnu a slobodnú vôľu, vedenú úprimnou snahou naplniť obsah a ciele tohto memoranda, čo potvrdzujú podpismi oprávnených zástupcov strán memoranda.</w:t>
      </w:r>
    </w:p>
    <w:p w14:paraId="7F77CABC" w14:textId="77777777" w:rsidR="00E426D7" w:rsidRDefault="00E426D7"/>
    <w:sectPr w:rsidR="00E426D7" w:rsidSect="00EA429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A5B4C99D-2043-9647-AC58-F9F8638E817B}"/>
  </w:font>
  <w:font w:name="Times New Roman">
    <w:panose1 w:val="02020603050405020304"/>
    <w:charset w:val="00"/>
    <w:family w:val="roman"/>
    <w:pitch w:val="variable"/>
    <w:sig w:usb0="E0002EFF" w:usb1="C000785B" w:usb2="00000009" w:usb3="00000000" w:csb0="000001FF" w:csb1="00000000"/>
    <w:embedRegular r:id="rId2" w:fontKey="{BB526E13-524C-D74B-98CC-5333E5ADD7D8}"/>
    <w:embedBold r:id="rId3" w:fontKey="{FEE779D6-CF4D-5B4F-B265-1AA8FBF3DFCB}"/>
  </w:font>
  <w:font w:name="Courier New">
    <w:panose1 w:val="02070309020205020404"/>
    <w:charset w:val="EE"/>
    <w:family w:val="modern"/>
    <w:pitch w:val="fixed"/>
    <w:sig w:usb0="E0002EFF" w:usb1="C0007843" w:usb2="00000009" w:usb3="00000000" w:csb0="000001FF" w:csb1="00000000"/>
    <w:embedRegular r:id="rId4" w:fontKey="{1018C524-94A2-8240-A374-023D16B7B67D}"/>
  </w:font>
  <w:font w:name="Wingdings">
    <w:panose1 w:val="05000000000000000000"/>
    <w:charset w:val="02"/>
    <w:family w:val="decorative"/>
    <w:pitch w:val="variable"/>
    <w:sig w:usb0="00000000" w:usb1="10000000" w:usb2="00000000" w:usb3="00000000" w:csb0="80000000" w:csb1="00000000"/>
    <w:embedRegular r:id="rId5" w:fontKey="{11E11EAB-8580-264B-AEA3-1A2E888A5991}"/>
  </w:font>
  <w:font w:name="Calibri">
    <w:panose1 w:val="020F0502020204030204"/>
    <w:charset w:val="EE"/>
    <w:family w:val="swiss"/>
    <w:pitch w:val="variable"/>
    <w:sig w:usb0="E0002AFF" w:usb1="C000247B" w:usb2="00000009" w:usb3="00000000" w:csb0="000001FF" w:csb1="00000000"/>
    <w:embedRegular r:id="rId6" w:fontKey="{AD5B6AC6-3D2C-094F-960C-417E83E90079}"/>
  </w:font>
  <w:font w:name="Playfair Display">
    <w:panose1 w:val="00000500000000000000"/>
    <w:charset w:val="4D"/>
    <w:family w:val="auto"/>
    <w:pitch w:val="variable"/>
    <w:sig w:usb0="20000207" w:usb1="00000000" w:usb2="00000000" w:usb3="00000000" w:csb0="00000197" w:csb1="00000000"/>
    <w:embedRegular r:id="rId7" w:fontKey="{0639BD38-5AF5-C84F-B6F5-1BE473893B5E}"/>
    <w:embedBold r:id="rId8" w:fontKey="{A1A5CFFE-92F4-AF4B-9241-CDC577B5925E}"/>
  </w:font>
  <w:font w:name="poppins">
    <w:panose1 w:val="00000800000000000000"/>
    <w:charset w:val="4D"/>
    <w:family w:val="auto"/>
    <w:pitch w:val="variable"/>
    <w:sig w:usb0="00008007" w:usb1="00000000" w:usb2="00000000" w:usb3="00000000" w:csb0="00000093" w:csb1="00000000"/>
    <w:embedRegular r:id="rId9" w:fontKey="{B0C3CAB7-8057-CD4B-8D8B-1A675341CD32}"/>
    <w:embedBold r:id="rId10" w:fontKey="{CD8B9D05-102C-E94D-B98A-F7FEBEADBC5D}"/>
  </w:font>
  <w:font w:name="Calibri Light">
    <w:panose1 w:val="020F0302020204030204"/>
    <w:charset w:val="EE"/>
    <w:family w:val="swiss"/>
    <w:pitch w:val="variable"/>
    <w:sig w:usb0="E4002EFF" w:usb1="C000247B" w:usb2="00000009" w:usb3="00000000" w:csb0="000001FF" w:csb1="00000000"/>
    <w:embedRegular r:id="rId11" w:fontKey="{8C13BFE6-C7F0-D840-B577-0C797A8704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81DFA"/>
    <w:multiLevelType w:val="multilevel"/>
    <w:tmpl w:val="882C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60B1E"/>
    <w:multiLevelType w:val="hybridMultilevel"/>
    <w:tmpl w:val="3C06157E"/>
    <w:lvl w:ilvl="0" w:tplc="041B0017">
      <w:start w:val="1"/>
      <w:numFmt w:val="lowerLetter"/>
      <w:lvlText w:val="%1)"/>
      <w:lvlJc w:val="left"/>
      <w:pPr>
        <w:ind w:left="377" w:hanging="360"/>
      </w:pPr>
    </w:lvl>
    <w:lvl w:ilvl="1" w:tplc="08090019" w:tentative="1">
      <w:start w:val="1"/>
      <w:numFmt w:val="lowerLetter"/>
      <w:lvlText w:val="%2."/>
      <w:lvlJc w:val="left"/>
      <w:pPr>
        <w:ind w:left="1097" w:hanging="360"/>
      </w:pPr>
    </w:lvl>
    <w:lvl w:ilvl="2" w:tplc="0809001B" w:tentative="1">
      <w:start w:val="1"/>
      <w:numFmt w:val="lowerRoman"/>
      <w:lvlText w:val="%3."/>
      <w:lvlJc w:val="right"/>
      <w:pPr>
        <w:ind w:left="1817" w:hanging="180"/>
      </w:pPr>
    </w:lvl>
    <w:lvl w:ilvl="3" w:tplc="0809000F" w:tentative="1">
      <w:start w:val="1"/>
      <w:numFmt w:val="decimal"/>
      <w:lvlText w:val="%4."/>
      <w:lvlJc w:val="left"/>
      <w:pPr>
        <w:ind w:left="2537" w:hanging="360"/>
      </w:pPr>
    </w:lvl>
    <w:lvl w:ilvl="4" w:tplc="08090019" w:tentative="1">
      <w:start w:val="1"/>
      <w:numFmt w:val="lowerLetter"/>
      <w:lvlText w:val="%5."/>
      <w:lvlJc w:val="left"/>
      <w:pPr>
        <w:ind w:left="3257" w:hanging="360"/>
      </w:pPr>
    </w:lvl>
    <w:lvl w:ilvl="5" w:tplc="0809001B" w:tentative="1">
      <w:start w:val="1"/>
      <w:numFmt w:val="lowerRoman"/>
      <w:lvlText w:val="%6."/>
      <w:lvlJc w:val="right"/>
      <w:pPr>
        <w:ind w:left="3977" w:hanging="180"/>
      </w:pPr>
    </w:lvl>
    <w:lvl w:ilvl="6" w:tplc="0809000F" w:tentative="1">
      <w:start w:val="1"/>
      <w:numFmt w:val="decimal"/>
      <w:lvlText w:val="%7."/>
      <w:lvlJc w:val="left"/>
      <w:pPr>
        <w:ind w:left="4697" w:hanging="360"/>
      </w:pPr>
    </w:lvl>
    <w:lvl w:ilvl="7" w:tplc="08090019" w:tentative="1">
      <w:start w:val="1"/>
      <w:numFmt w:val="lowerLetter"/>
      <w:lvlText w:val="%8."/>
      <w:lvlJc w:val="left"/>
      <w:pPr>
        <w:ind w:left="5417" w:hanging="360"/>
      </w:pPr>
    </w:lvl>
    <w:lvl w:ilvl="8" w:tplc="0809001B" w:tentative="1">
      <w:start w:val="1"/>
      <w:numFmt w:val="lowerRoman"/>
      <w:lvlText w:val="%9."/>
      <w:lvlJc w:val="right"/>
      <w:pPr>
        <w:ind w:left="6137" w:hanging="180"/>
      </w:pPr>
    </w:lvl>
  </w:abstractNum>
  <w:abstractNum w:abstractNumId="2" w15:restartNumberingAfterBreak="0">
    <w:nsid w:val="06DA7933"/>
    <w:multiLevelType w:val="multilevel"/>
    <w:tmpl w:val="0D26B30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9A2D26"/>
    <w:multiLevelType w:val="multilevel"/>
    <w:tmpl w:val="73E6B476"/>
    <w:lvl w:ilvl="0">
      <w:start w:val="1"/>
      <w:numFmt w:val="bullet"/>
      <w:lvlText w:val=""/>
      <w:lvlJc w:val="left"/>
      <w:pPr>
        <w:ind w:left="1095" w:hanging="360"/>
      </w:pPr>
      <w:rPr>
        <w:rFonts w:ascii="Wingdings" w:hAnsi="Wingdings" w:hint="default"/>
        <w:sz w:val="20"/>
      </w:rPr>
    </w:lvl>
    <w:lvl w:ilvl="1" w:tentative="1">
      <w:start w:val="1"/>
      <w:numFmt w:val="bullet"/>
      <w:lvlText w:val="o"/>
      <w:lvlJc w:val="left"/>
      <w:pPr>
        <w:tabs>
          <w:tab w:val="num" w:pos="1815"/>
        </w:tabs>
        <w:ind w:left="1815" w:hanging="360"/>
      </w:pPr>
      <w:rPr>
        <w:rFonts w:ascii="Courier New" w:hAnsi="Courier New" w:hint="default"/>
        <w:sz w:val="20"/>
      </w:rPr>
    </w:lvl>
    <w:lvl w:ilvl="2" w:tentative="1">
      <w:start w:val="1"/>
      <w:numFmt w:val="bullet"/>
      <w:lvlText w:val=""/>
      <w:lvlJc w:val="left"/>
      <w:pPr>
        <w:tabs>
          <w:tab w:val="num" w:pos="2535"/>
        </w:tabs>
        <w:ind w:left="2535" w:hanging="360"/>
      </w:pPr>
      <w:rPr>
        <w:rFonts w:ascii="Wingdings" w:hAnsi="Wingdings" w:hint="default"/>
        <w:sz w:val="20"/>
      </w:rPr>
    </w:lvl>
    <w:lvl w:ilvl="3" w:tentative="1">
      <w:start w:val="1"/>
      <w:numFmt w:val="bullet"/>
      <w:lvlText w:val=""/>
      <w:lvlJc w:val="left"/>
      <w:pPr>
        <w:tabs>
          <w:tab w:val="num" w:pos="3255"/>
        </w:tabs>
        <w:ind w:left="3255" w:hanging="360"/>
      </w:pPr>
      <w:rPr>
        <w:rFonts w:ascii="Wingdings" w:hAnsi="Wingdings" w:hint="default"/>
        <w:sz w:val="20"/>
      </w:rPr>
    </w:lvl>
    <w:lvl w:ilvl="4" w:tentative="1">
      <w:start w:val="1"/>
      <w:numFmt w:val="bullet"/>
      <w:lvlText w:val=""/>
      <w:lvlJc w:val="left"/>
      <w:pPr>
        <w:tabs>
          <w:tab w:val="num" w:pos="3975"/>
        </w:tabs>
        <w:ind w:left="3975" w:hanging="360"/>
      </w:pPr>
      <w:rPr>
        <w:rFonts w:ascii="Wingdings" w:hAnsi="Wingdings" w:hint="default"/>
        <w:sz w:val="20"/>
      </w:rPr>
    </w:lvl>
    <w:lvl w:ilvl="5" w:tentative="1">
      <w:start w:val="1"/>
      <w:numFmt w:val="bullet"/>
      <w:lvlText w:val=""/>
      <w:lvlJc w:val="left"/>
      <w:pPr>
        <w:tabs>
          <w:tab w:val="num" w:pos="4695"/>
        </w:tabs>
        <w:ind w:left="4695" w:hanging="360"/>
      </w:pPr>
      <w:rPr>
        <w:rFonts w:ascii="Wingdings" w:hAnsi="Wingdings" w:hint="default"/>
        <w:sz w:val="20"/>
      </w:rPr>
    </w:lvl>
    <w:lvl w:ilvl="6" w:tentative="1">
      <w:start w:val="1"/>
      <w:numFmt w:val="bullet"/>
      <w:lvlText w:val=""/>
      <w:lvlJc w:val="left"/>
      <w:pPr>
        <w:tabs>
          <w:tab w:val="num" w:pos="5415"/>
        </w:tabs>
        <w:ind w:left="5415" w:hanging="360"/>
      </w:pPr>
      <w:rPr>
        <w:rFonts w:ascii="Wingdings" w:hAnsi="Wingdings" w:hint="default"/>
        <w:sz w:val="20"/>
      </w:rPr>
    </w:lvl>
    <w:lvl w:ilvl="7" w:tentative="1">
      <w:start w:val="1"/>
      <w:numFmt w:val="bullet"/>
      <w:lvlText w:val=""/>
      <w:lvlJc w:val="left"/>
      <w:pPr>
        <w:tabs>
          <w:tab w:val="num" w:pos="6135"/>
        </w:tabs>
        <w:ind w:left="6135" w:hanging="360"/>
      </w:pPr>
      <w:rPr>
        <w:rFonts w:ascii="Wingdings" w:hAnsi="Wingdings" w:hint="default"/>
        <w:sz w:val="20"/>
      </w:rPr>
    </w:lvl>
    <w:lvl w:ilvl="8" w:tentative="1">
      <w:start w:val="1"/>
      <w:numFmt w:val="bullet"/>
      <w:lvlText w:val=""/>
      <w:lvlJc w:val="left"/>
      <w:pPr>
        <w:tabs>
          <w:tab w:val="num" w:pos="6855"/>
        </w:tabs>
        <w:ind w:left="6855" w:hanging="360"/>
      </w:pPr>
      <w:rPr>
        <w:rFonts w:ascii="Wingdings" w:hAnsi="Wingdings" w:hint="default"/>
        <w:sz w:val="20"/>
      </w:rPr>
    </w:lvl>
  </w:abstractNum>
  <w:abstractNum w:abstractNumId="4" w15:restartNumberingAfterBreak="0">
    <w:nsid w:val="119E0744"/>
    <w:multiLevelType w:val="multilevel"/>
    <w:tmpl w:val="F08A9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AC511E"/>
    <w:multiLevelType w:val="hybridMultilevel"/>
    <w:tmpl w:val="3C06157E"/>
    <w:lvl w:ilvl="0" w:tplc="041B0017">
      <w:start w:val="1"/>
      <w:numFmt w:val="lowerLetter"/>
      <w:lvlText w:val="%1)"/>
      <w:lvlJc w:val="left"/>
      <w:pPr>
        <w:ind w:left="735" w:hanging="360"/>
      </w:pPr>
    </w:lvl>
    <w:lvl w:ilvl="1" w:tplc="08090019" w:tentative="1">
      <w:start w:val="1"/>
      <w:numFmt w:val="lowerLetter"/>
      <w:lvlText w:val="%2."/>
      <w:lvlJc w:val="left"/>
      <w:pPr>
        <w:ind w:left="1455" w:hanging="360"/>
      </w:p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6" w15:restartNumberingAfterBreak="0">
    <w:nsid w:val="2C9053CA"/>
    <w:multiLevelType w:val="multilevel"/>
    <w:tmpl w:val="474A4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F948C8"/>
    <w:multiLevelType w:val="multilevel"/>
    <w:tmpl w:val="E592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FC37F5"/>
    <w:multiLevelType w:val="multilevel"/>
    <w:tmpl w:val="FDDA2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CE1562"/>
    <w:multiLevelType w:val="hybridMultilevel"/>
    <w:tmpl w:val="BC14FB4E"/>
    <w:lvl w:ilvl="0" w:tplc="041B0017">
      <w:start w:val="1"/>
      <w:numFmt w:val="lowerLetter"/>
      <w:lvlText w:val="%1)"/>
      <w:lvlJc w:val="left"/>
      <w:pPr>
        <w:ind w:left="375" w:hanging="360"/>
      </w:pPr>
    </w:lvl>
    <w:lvl w:ilvl="1" w:tplc="9E1C3DC6">
      <w:start w:val="1"/>
      <w:numFmt w:val="lowerRoman"/>
      <w:lvlText w:val="(%2)"/>
      <w:lvlJc w:val="left"/>
      <w:pPr>
        <w:ind w:left="1455" w:hanging="720"/>
      </w:pPr>
      <w:rPr>
        <w:rFonts w:hint="default"/>
      </w:rPr>
    </w:lvl>
    <w:lvl w:ilvl="2" w:tplc="0809001B" w:tentative="1">
      <w:start w:val="1"/>
      <w:numFmt w:val="lowerRoman"/>
      <w:lvlText w:val="%3."/>
      <w:lvlJc w:val="right"/>
      <w:pPr>
        <w:ind w:left="1815" w:hanging="180"/>
      </w:pPr>
    </w:lvl>
    <w:lvl w:ilvl="3" w:tplc="0809000F" w:tentative="1">
      <w:start w:val="1"/>
      <w:numFmt w:val="decimal"/>
      <w:lvlText w:val="%4."/>
      <w:lvlJc w:val="left"/>
      <w:pPr>
        <w:ind w:left="2535" w:hanging="360"/>
      </w:pPr>
    </w:lvl>
    <w:lvl w:ilvl="4" w:tplc="08090019" w:tentative="1">
      <w:start w:val="1"/>
      <w:numFmt w:val="lowerLetter"/>
      <w:lvlText w:val="%5."/>
      <w:lvlJc w:val="left"/>
      <w:pPr>
        <w:ind w:left="3255" w:hanging="360"/>
      </w:pPr>
    </w:lvl>
    <w:lvl w:ilvl="5" w:tplc="0809001B" w:tentative="1">
      <w:start w:val="1"/>
      <w:numFmt w:val="lowerRoman"/>
      <w:lvlText w:val="%6."/>
      <w:lvlJc w:val="right"/>
      <w:pPr>
        <w:ind w:left="3975" w:hanging="180"/>
      </w:pPr>
    </w:lvl>
    <w:lvl w:ilvl="6" w:tplc="0809000F" w:tentative="1">
      <w:start w:val="1"/>
      <w:numFmt w:val="decimal"/>
      <w:lvlText w:val="%7."/>
      <w:lvlJc w:val="left"/>
      <w:pPr>
        <w:ind w:left="4695" w:hanging="360"/>
      </w:pPr>
    </w:lvl>
    <w:lvl w:ilvl="7" w:tplc="08090019" w:tentative="1">
      <w:start w:val="1"/>
      <w:numFmt w:val="lowerLetter"/>
      <w:lvlText w:val="%8."/>
      <w:lvlJc w:val="left"/>
      <w:pPr>
        <w:ind w:left="5415" w:hanging="360"/>
      </w:pPr>
    </w:lvl>
    <w:lvl w:ilvl="8" w:tplc="0809001B" w:tentative="1">
      <w:start w:val="1"/>
      <w:numFmt w:val="lowerRoman"/>
      <w:lvlText w:val="%9."/>
      <w:lvlJc w:val="right"/>
      <w:pPr>
        <w:ind w:left="6135" w:hanging="180"/>
      </w:pPr>
    </w:lvl>
  </w:abstractNum>
  <w:abstractNum w:abstractNumId="10" w15:restartNumberingAfterBreak="0">
    <w:nsid w:val="431412FF"/>
    <w:multiLevelType w:val="hybridMultilevel"/>
    <w:tmpl w:val="EF74EC60"/>
    <w:lvl w:ilvl="0" w:tplc="528E8A16">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1" w15:restartNumberingAfterBreak="0">
    <w:nsid w:val="5A843931"/>
    <w:multiLevelType w:val="hybridMultilevel"/>
    <w:tmpl w:val="116EFA4E"/>
    <w:lvl w:ilvl="0" w:tplc="F942F218">
      <w:start w:val="1"/>
      <w:numFmt w:val="lowerRoman"/>
      <w:lvlText w:val="%1."/>
      <w:lvlJc w:val="left"/>
      <w:pPr>
        <w:ind w:left="735" w:hanging="360"/>
      </w:pPr>
      <w:rPr>
        <w:rFonts w:hint="default"/>
      </w:rPr>
    </w:lvl>
    <w:lvl w:ilvl="1" w:tplc="08090019">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12" w15:restartNumberingAfterBreak="0">
    <w:nsid w:val="5C340191"/>
    <w:multiLevelType w:val="multilevel"/>
    <w:tmpl w:val="ACD26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403F59"/>
    <w:multiLevelType w:val="hybridMultilevel"/>
    <w:tmpl w:val="1A3497C6"/>
    <w:lvl w:ilvl="0" w:tplc="FD44DD52">
      <w:start w:val="1"/>
      <w:numFmt w:val="lowerLetter"/>
      <w:lvlText w:val="%1)"/>
      <w:lvlJc w:val="left"/>
      <w:pPr>
        <w:ind w:left="375" w:hanging="360"/>
      </w:pPr>
      <w:rPr>
        <w:rFonts w:hint="default"/>
      </w:rPr>
    </w:lvl>
    <w:lvl w:ilvl="1" w:tplc="08090019" w:tentative="1">
      <w:start w:val="1"/>
      <w:numFmt w:val="lowerLetter"/>
      <w:lvlText w:val="%2."/>
      <w:lvlJc w:val="left"/>
      <w:pPr>
        <w:ind w:left="1095" w:hanging="360"/>
      </w:pPr>
    </w:lvl>
    <w:lvl w:ilvl="2" w:tplc="0809001B" w:tentative="1">
      <w:start w:val="1"/>
      <w:numFmt w:val="lowerRoman"/>
      <w:lvlText w:val="%3."/>
      <w:lvlJc w:val="right"/>
      <w:pPr>
        <w:ind w:left="1815" w:hanging="180"/>
      </w:pPr>
    </w:lvl>
    <w:lvl w:ilvl="3" w:tplc="0809000F" w:tentative="1">
      <w:start w:val="1"/>
      <w:numFmt w:val="decimal"/>
      <w:lvlText w:val="%4."/>
      <w:lvlJc w:val="left"/>
      <w:pPr>
        <w:ind w:left="2535" w:hanging="360"/>
      </w:pPr>
    </w:lvl>
    <w:lvl w:ilvl="4" w:tplc="08090019" w:tentative="1">
      <w:start w:val="1"/>
      <w:numFmt w:val="lowerLetter"/>
      <w:lvlText w:val="%5."/>
      <w:lvlJc w:val="left"/>
      <w:pPr>
        <w:ind w:left="3255" w:hanging="360"/>
      </w:pPr>
    </w:lvl>
    <w:lvl w:ilvl="5" w:tplc="0809001B" w:tentative="1">
      <w:start w:val="1"/>
      <w:numFmt w:val="lowerRoman"/>
      <w:lvlText w:val="%6."/>
      <w:lvlJc w:val="right"/>
      <w:pPr>
        <w:ind w:left="3975" w:hanging="180"/>
      </w:pPr>
    </w:lvl>
    <w:lvl w:ilvl="6" w:tplc="0809000F" w:tentative="1">
      <w:start w:val="1"/>
      <w:numFmt w:val="decimal"/>
      <w:lvlText w:val="%7."/>
      <w:lvlJc w:val="left"/>
      <w:pPr>
        <w:ind w:left="4695" w:hanging="360"/>
      </w:pPr>
    </w:lvl>
    <w:lvl w:ilvl="7" w:tplc="08090019" w:tentative="1">
      <w:start w:val="1"/>
      <w:numFmt w:val="lowerLetter"/>
      <w:lvlText w:val="%8."/>
      <w:lvlJc w:val="left"/>
      <w:pPr>
        <w:ind w:left="5415" w:hanging="360"/>
      </w:pPr>
    </w:lvl>
    <w:lvl w:ilvl="8" w:tplc="0809001B" w:tentative="1">
      <w:start w:val="1"/>
      <w:numFmt w:val="lowerRoman"/>
      <w:lvlText w:val="%9."/>
      <w:lvlJc w:val="right"/>
      <w:pPr>
        <w:ind w:left="6135" w:hanging="180"/>
      </w:pPr>
    </w:lvl>
  </w:abstractNum>
  <w:num w:numId="1">
    <w:abstractNumId w:val="8"/>
  </w:num>
  <w:num w:numId="2">
    <w:abstractNumId w:val="6"/>
  </w:num>
  <w:num w:numId="3">
    <w:abstractNumId w:val="2"/>
  </w:num>
  <w:num w:numId="4">
    <w:abstractNumId w:val="7"/>
  </w:num>
  <w:num w:numId="5">
    <w:abstractNumId w:val="0"/>
  </w:num>
  <w:num w:numId="6">
    <w:abstractNumId w:val="4"/>
  </w:num>
  <w:num w:numId="7">
    <w:abstractNumId w:val="12"/>
  </w:num>
  <w:num w:numId="8">
    <w:abstractNumId w:val="9"/>
  </w:num>
  <w:num w:numId="9">
    <w:abstractNumId w:val="10"/>
  </w:num>
  <w:num w:numId="10">
    <w:abstractNumId w:val="11"/>
  </w:num>
  <w:num w:numId="11">
    <w:abstractNumId w:val="3"/>
  </w:num>
  <w:num w:numId="12">
    <w:abstractNumId w:val="1"/>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0AD"/>
    <w:rsid w:val="000661CC"/>
    <w:rsid w:val="000B11D2"/>
    <w:rsid w:val="002040AD"/>
    <w:rsid w:val="002F23B7"/>
    <w:rsid w:val="003A4EB8"/>
    <w:rsid w:val="00791489"/>
    <w:rsid w:val="00E426D7"/>
    <w:rsid w:val="00EA4295"/>
    <w:rsid w:val="00ED4D41"/>
    <w:rsid w:val="00EF76F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4:docId w14:val="51FD488A"/>
  <w15:chartTrackingRefBased/>
  <w15:docId w15:val="{48DA7AC0-57BE-6E41-BB3F-88CBFB913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040AD"/>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040AD"/>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40A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040A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2040AD"/>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040AD"/>
    <w:rPr>
      <w:b/>
      <w:bCs/>
    </w:rPr>
  </w:style>
  <w:style w:type="paragraph" w:styleId="ListParagraph">
    <w:name w:val="List Paragraph"/>
    <w:basedOn w:val="Normal"/>
    <w:uiPriority w:val="34"/>
    <w:qFormat/>
    <w:rsid w:val="002F23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88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1004</Words>
  <Characters>5723</Characters>
  <Application>Microsoft Office Word</Application>
  <DocSecurity>0</DocSecurity>
  <Lines>47</Lines>
  <Paragraphs>13</Paragraphs>
  <ScaleCrop>false</ScaleCrop>
  <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Lukáš Steiniger - steinigers.com</dc:creator>
  <cp:keywords/>
  <dc:description/>
  <cp:lastModifiedBy>Lukáš Steiniger - steinigers.com</cp:lastModifiedBy>
  <cp:revision>2</cp:revision>
  <dcterms:created xsi:type="dcterms:W3CDTF">2020-03-09T15:21:00Z</dcterms:created>
  <dcterms:modified xsi:type="dcterms:W3CDTF">2020-03-09T16:29:00Z</dcterms:modified>
</cp:coreProperties>
</file>